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571AAB3"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#96</w:t>
      </w:r>
      <w:r w:rsidRPr="0007631D">
        <w:rPr>
          <w:b/>
          <w:sz w:val="24"/>
          <w:szCs w:val="24"/>
        </w:rPr>
        <w:tab/>
        <w:t>R1-</w:t>
      </w:r>
      <w:r w:rsidR="004A0C72">
        <w:rPr>
          <w:b/>
          <w:sz w:val="24"/>
          <w:szCs w:val="24"/>
        </w:rPr>
        <w:t>19</w:t>
      </w:r>
      <w:r w:rsidR="00846BEE">
        <w:rPr>
          <w:b/>
          <w:sz w:val="24"/>
          <w:szCs w:val="24"/>
        </w:rPr>
        <w:t>03025</w:t>
      </w:r>
    </w:p>
    <w:p w14:paraId="2FF5C0C2" w14:textId="77777777" w:rsidR="006F7B22" w:rsidRPr="0007631D" w:rsidRDefault="006F7B22" w:rsidP="006F7B22">
      <w:pPr>
        <w:tabs>
          <w:tab w:val="center" w:pos="4536"/>
          <w:tab w:val="right" w:pos="9072"/>
        </w:tabs>
        <w:spacing w:after="0"/>
        <w:rPr>
          <w:rFonts w:eastAsia="MS Mincho"/>
          <w:b/>
          <w:bCs/>
          <w:sz w:val="24"/>
          <w:szCs w:val="24"/>
          <w:lang w:eastAsia="ja-JP"/>
        </w:rPr>
      </w:pPr>
      <w:r>
        <w:rPr>
          <w:b/>
          <w:bCs/>
          <w:sz w:val="24"/>
          <w:szCs w:val="24"/>
        </w:rPr>
        <w:t>February</w:t>
      </w:r>
      <w:r w:rsidRPr="0007631D">
        <w:rPr>
          <w:b/>
          <w:bCs/>
          <w:sz w:val="24"/>
          <w:szCs w:val="24"/>
        </w:rPr>
        <w:t xml:space="preserve"> </w:t>
      </w:r>
      <w:r>
        <w:rPr>
          <w:b/>
          <w:bCs/>
          <w:sz w:val="24"/>
          <w:szCs w:val="24"/>
        </w:rPr>
        <w:t>25</w:t>
      </w:r>
      <w:r>
        <w:rPr>
          <w:b/>
          <w:bCs/>
          <w:sz w:val="24"/>
          <w:szCs w:val="24"/>
          <w:vertAlign w:val="superscript"/>
        </w:rPr>
        <w:t>th</w:t>
      </w:r>
      <w:r>
        <w:rPr>
          <w:b/>
          <w:bCs/>
          <w:sz w:val="24"/>
          <w:szCs w:val="24"/>
        </w:rPr>
        <w:t xml:space="preserve"> – March 1</w:t>
      </w:r>
      <w:r>
        <w:rPr>
          <w:b/>
          <w:bCs/>
          <w:sz w:val="24"/>
          <w:szCs w:val="24"/>
          <w:vertAlign w:val="superscript"/>
        </w:rPr>
        <w:t>st</w:t>
      </w:r>
      <w:r w:rsidRPr="0007631D">
        <w:rPr>
          <w:b/>
          <w:bCs/>
          <w:sz w:val="24"/>
          <w:szCs w:val="24"/>
        </w:rPr>
        <w:t>, 201</w:t>
      </w:r>
      <w:r>
        <w:rPr>
          <w:rFonts w:eastAsia="MS Mincho"/>
          <w:b/>
          <w:bCs/>
          <w:sz w:val="24"/>
          <w:szCs w:val="24"/>
          <w:lang w:eastAsia="ja-JP"/>
        </w:rPr>
        <w:t>9</w:t>
      </w:r>
    </w:p>
    <w:p w14:paraId="28A9D42B" w14:textId="4C125DBF" w:rsidR="00433B47" w:rsidRPr="0007631D" w:rsidRDefault="0068132A" w:rsidP="00433B47">
      <w:pPr>
        <w:spacing w:after="0"/>
        <w:jc w:val="both"/>
        <w:rPr>
          <w:b/>
          <w:sz w:val="24"/>
          <w:szCs w:val="24"/>
          <w:lang w:eastAsia="zh-CN"/>
        </w:rPr>
      </w:pPr>
      <w:r>
        <w:rPr>
          <w:b/>
          <w:sz w:val="24"/>
          <w:szCs w:val="24"/>
        </w:rPr>
        <w:t>Athens, Greece</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7AC6F877"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or in FR2.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77473D24"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ld guarantee that the uplink transmissions for each cell group will not be interrupted due to a transmission in another cell group to the extent possible.</w:t>
      </w:r>
    </w:p>
    <w:p w14:paraId="2CAC5B28" w14:textId="1392AA0C"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the UE has comparable processing latency on both cell grou</w:t>
      </w:r>
      <w:r w:rsidR="0045722A">
        <w:rPr>
          <w:rFonts w:asciiTheme="majorBidi" w:hAnsiTheme="majorBidi" w:cstheme="majorBidi"/>
          <w:bCs/>
          <w:iCs/>
        </w:rPr>
        <w:t>ps. In other words</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6B57D8">
        <w:rPr>
          <w:noProof/>
        </w:rPr>
        <w:fldChar w:fldCharType="begin"/>
      </w:r>
      <w:r w:rsidR="006B57D8">
        <w:rPr>
          <w:noProof/>
        </w:rPr>
        <w:instrText xml:space="preserve"> SEQ Table \* ARABIC </w:instrText>
      </w:r>
      <w:r w:rsidR="006B57D8">
        <w:rPr>
          <w:noProof/>
        </w:rPr>
        <w:fldChar w:fldCharType="separate"/>
      </w:r>
      <w:r w:rsidR="00046296">
        <w:rPr>
          <w:noProof/>
        </w:rPr>
        <w:t>1</w:t>
      </w:r>
      <w:r w:rsidR="006B57D8">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33774A66" w14:textId="77777777" w:rsidR="0045722A" w:rsidRDefault="0045722A" w:rsidP="00214148">
      <w:pPr>
        <w:jc w:val="both"/>
        <w:rPr>
          <w:rFonts w:asciiTheme="majorBidi" w:hAnsiTheme="majorBidi" w:cstheme="majorBidi"/>
          <w:bCs/>
          <w:iCs/>
        </w:rPr>
      </w:pPr>
    </w:p>
    <w:p w14:paraId="322C94B9" w14:textId="79F00B85" w:rsidR="00D81F27" w:rsidRPr="00846BEE" w:rsidRDefault="00D81F27" w:rsidP="00214148">
      <w:pPr>
        <w:jc w:val="both"/>
        <w:rPr>
          <w:rFonts w:asciiTheme="majorBidi" w:hAnsiTheme="majorBidi" w:cstheme="majorBidi"/>
          <w:bCs/>
          <w:iCs/>
        </w:rPr>
      </w:pPr>
      <w:r w:rsidRPr="00846BEE">
        <w:rPr>
          <w:rFonts w:asciiTheme="majorBidi" w:hAnsiTheme="majorBidi" w:cstheme="majorBidi"/>
          <w:bCs/>
          <w:iCs/>
        </w:rPr>
        <w:t xml:space="preserve">In RAN1 AH1901, different aspects of </w:t>
      </w:r>
      <w:r w:rsidR="00D32C7A" w:rsidRPr="00846BEE">
        <w:rPr>
          <w:rFonts w:asciiTheme="majorBidi" w:hAnsiTheme="majorBidi" w:cstheme="majorBidi"/>
          <w:bCs/>
          <w:iCs/>
        </w:rPr>
        <w:t>uplink power control design for Rel. 16 NN-DC were discussed, and the companies were encouraged to consider responding to the following questions:</w:t>
      </w:r>
    </w:p>
    <w:p w14:paraId="67A1EB7D"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What is semi-static power sharing for NN-DC?</w:t>
      </w:r>
    </w:p>
    <w:p w14:paraId="49D3F9F2"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What is dynamic power sharing for NN-DC?</w:t>
      </w:r>
    </w:p>
    <w:p w14:paraId="64288317"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 xml:space="preserve">Is there any benefit to dynamic power sharing with a look-ahead operation as compared to dynamic power sharing without a look-ahead operation? If yes, what are the benefits? </w:t>
      </w:r>
    </w:p>
    <w:p w14:paraId="013A02D2"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Does semi-static power sharing reduce UE implementation complexity compared to dynamic power sharing? If yes, how and in what cases?</w:t>
      </w:r>
    </w:p>
    <w:p w14:paraId="298AD043"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Can Dynamic power sharing be operated to also cover semi-static power sharing? If yes, how? What is the impact from NW and UE perspective when this is done?</w:t>
      </w:r>
    </w:p>
    <w:p w14:paraId="4D6466FE"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lastRenderedPageBreak/>
        <w:t>What is the impact on uplink performance (coverage/throughput) when semi-static power sharing is used for NN-DC?</w:t>
      </w:r>
    </w:p>
    <w:p w14:paraId="1FCFFCA6"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What is the impact on uplink performance (coverage/throughput) when dynamic power sharing is used for NN-DC?</w:t>
      </w:r>
    </w:p>
    <w:p w14:paraId="091C2A59"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 xml:space="preserve">What is the impact on UL link adaptation when dynamic power sharing is used for NN-DC? </w:t>
      </w:r>
    </w:p>
    <w:p w14:paraId="18915B19"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Can dynamic or semi-static power sharing introduce phase discontinuity on an ongoing uplink transmission? If yes, how? If no, is there any requirement for the UE to maintain the phase continuity?</w:t>
      </w:r>
    </w:p>
    <w:p w14:paraId="1B607B7E"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 xml:space="preserve">Does the relative performance (coverage/throughput) of semi-static power sharing vs. dynamic power sharing depend on traffic load (e.g. low/medium/high) and traffic type (e.g. </w:t>
      </w:r>
      <w:proofErr w:type="spellStart"/>
      <w:r w:rsidRPr="00846BEE">
        <w:rPr>
          <w:rFonts w:ascii="Times New Roman" w:hAnsi="Times New Roman"/>
          <w:i/>
          <w:sz w:val="20"/>
          <w:lang w:val="en-GB"/>
        </w:rPr>
        <w:t>bursty</w:t>
      </w:r>
      <w:proofErr w:type="spellEnd"/>
      <w:r w:rsidRPr="00846BEE">
        <w:rPr>
          <w:rFonts w:ascii="Times New Roman" w:hAnsi="Times New Roman"/>
          <w:i/>
          <w:sz w:val="20"/>
          <w:lang w:val="en-GB"/>
        </w:rPr>
        <w:t>, full buffer</w:t>
      </w:r>
      <w:proofErr w:type="gramStart"/>
      <w:r w:rsidRPr="00846BEE">
        <w:rPr>
          <w:rFonts w:ascii="Times New Roman" w:hAnsi="Times New Roman"/>
          <w:i/>
          <w:sz w:val="20"/>
          <w:lang w:val="en-GB"/>
        </w:rPr>
        <w:t>)?If</w:t>
      </w:r>
      <w:proofErr w:type="gramEnd"/>
      <w:r w:rsidRPr="00846BEE">
        <w:rPr>
          <w:rFonts w:ascii="Times New Roman" w:hAnsi="Times New Roman"/>
          <w:i/>
          <w:sz w:val="20"/>
          <w:lang w:val="en-GB"/>
        </w:rPr>
        <w:t xml:space="preserve"> yes, how?</w:t>
      </w:r>
    </w:p>
    <w:p w14:paraId="5F6E4718" w14:textId="77777777" w:rsidR="00D32C7A" w:rsidRPr="00846BEE" w:rsidRDefault="00D32C7A" w:rsidP="00D32C7A">
      <w:pPr>
        <w:pStyle w:val="ListParagraph"/>
        <w:numPr>
          <w:ilvl w:val="0"/>
          <w:numId w:val="11"/>
        </w:numPr>
        <w:jc w:val="both"/>
        <w:rPr>
          <w:rFonts w:ascii="Times New Roman" w:hAnsi="Times New Roman"/>
          <w:i/>
          <w:sz w:val="20"/>
          <w:lang w:val="en-GB"/>
        </w:rPr>
      </w:pPr>
      <w:r w:rsidRPr="00846BEE">
        <w:rPr>
          <w:rFonts w:ascii="Times New Roman" w:hAnsi="Times New Roman"/>
          <w:i/>
          <w:sz w:val="20"/>
          <w:lang w:val="en-GB"/>
        </w:rPr>
        <w:t>Should the uplink power control design for Rel. 16 NN-DC consider a UE with a single PA?</w:t>
      </w:r>
    </w:p>
    <w:p w14:paraId="08F6EB33" w14:textId="77777777" w:rsidR="00D32C7A" w:rsidRPr="00846BEE" w:rsidRDefault="00D32C7A" w:rsidP="00214148">
      <w:pPr>
        <w:jc w:val="both"/>
        <w:rPr>
          <w:rFonts w:asciiTheme="majorBidi" w:hAnsiTheme="majorBidi" w:cstheme="majorBidi"/>
          <w:bCs/>
          <w:iCs/>
        </w:rPr>
      </w:pPr>
    </w:p>
    <w:p w14:paraId="3E36F54D" w14:textId="4D64FB88" w:rsidR="0036619F" w:rsidRPr="00846BEE" w:rsidRDefault="00D32C7A" w:rsidP="00214148">
      <w:pPr>
        <w:jc w:val="both"/>
        <w:rPr>
          <w:rFonts w:asciiTheme="majorBidi" w:hAnsiTheme="majorBidi" w:cstheme="majorBidi"/>
          <w:bCs/>
          <w:iCs/>
        </w:rPr>
      </w:pPr>
      <w:r w:rsidRPr="00846BEE">
        <w:rPr>
          <w:rFonts w:asciiTheme="majorBidi" w:hAnsiTheme="majorBidi" w:cstheme="majorBidi"/>
          <w:bCs/>
          <w:iCs/>
        </w:rPr>
        <w:t>In the subsequent sections, we first respond to some of the abovementioned questions, and then c</w:t>
      </w:r>
      <w:r w:rsidR="00C23864" w:rsidRPr="00846BEE">
        <w:rPr>
          <w:rFonts w:asciiTheme="majorBidi" w:hAnsiTheme="majorBidi" w:cstheme="majorBidi"/>
          <w:bCs/>
          <w:iCs/>
        </w:rPr>
        <w:t xml:space="preserve">onsidering the points raised </w:t>
      </w:r>
      <w:r w:rsidRPr="00846BEE">
        <w:rPr>
          <w:rFonts w:asciiTheme="majorBidi" w:hAnsiTheme="majorBidi" w:cstheme="majorBidi"/>
          <w:bCs/>
          <w:iCs/>
        </w:rPr>
        <w:t>here</w:t>
      </w:r>
      <w:r w:rsidR="00C23864" w:rsidRPr="00846BEE">
        <w:rPr>
          <w:rFonts w:asciiTheme="majorBidi" w:hAnsiTheme="majorBidi" w:cstheme="majorBidi"/>
          <w:bCs/>
          <w:iCs/>
        </w:rPr>
        <w:t>, we propose a possible solution for uplink power control of Rel. 16 NN-DC.</w:t>
      </w:r>
    </w:p>
    <w:p w14:paraId="7E0F4733" w14:textId="2662EB3B" w:rsidR="00D32C7A" w:rsidRPr="00846BEE" w:rsidRDefault="00D32C7A" w:rsidP="00D32C7A">
      <w:pPr>
        <w:pStyle w:val="Heading1"/>
        <w:jc w:val="both"/>
        <w:rPr>
          <w:rFonts w:ascii="Times New Roman" w:hAnsi="Times New Roman"/>
        </w:rPr>
      </w:pPr>
      <w:r w:rsidRPr="00846BEE">
        <w:rPr>
          <w:rFonts w:ascii="Times New Roman" w:hAnsi="Times New Roman"/>
        </w:rPr>
        <w:t xml:space="preserve">Semi-Static Versus Dynamic Power Sharing </w:t>
      </w:r>
      <w:r w:rsidR="00212904" w:rsidRPr="00846BEE">
        <w:rPr>
          <w:rFonts w:ascii="Times New Roman" w:hAnsi="Times New Roman"/>
        </w:rPr>
        <w:t>for NN-DC</w:t>
      </w:r>
    </w:p>
    <w:p w14:paraId="553256AF" w14:textId="77777777" w:rsidR="00B5720F" w:rsidRPr="00846BEE" w:rsidRDefault="004D0879" w:rsidP="00F43662">
      <w:pPr>
        <w:jc w:val="both"/>
        <w:rPr>
          <w:lang w:val="en-GB"/>
        </w:rPr>
      </w:pPr>
      <w:r w:rsidRPr="00846BEE">
        <w:rPr>
          <w:lang w:val="en-GB"/>
        </w:rPr>
        <w:t xml:space="preserve">Under a semi-static power sharing scheme, </w:t>
      </w:r>
      <w:r w:rsidR="00F43662" w:rsidRPr="00846BEE">
        <w:rPr>
          <w:lang w:val="en-GB"/>
        </w:rPr>
        <w:t>the total allowed power across all the serving cells is semi-statically split between the two cell groups</w:t>
      </w:r>
      <w:r w:rsidR="00A05F0E" w:rsidRPr="00846BEE">
        <w:rPr>
          <w:lang w:val="en-GB"/>
        </w:rPr>
        <w:t xml:space="preserve"> such that the total UE’s transmit power is always below or equal to the total allowed transmit power.</w:t>
      </w:r>
      <w:r w:rsidR="00F43662" w:rsidRPr="00846BEE">
        <w:rPr>
          <w:lang w:val="en-GB"/>
        </w:rPr>
        <w:t xml:space="preserve"> </w:t>
      </w:r>
      <w:r w:rsidR="00A05F0E" w:rsidRPr="00846BEE">
        <w:rPr>
          <w:lang w:val="en-GB"/>
        </w:rPr>
        <w:t>Hence</w:t>
      </w:r>
      <w:r w:rsidR="00F43662" w:rsidRPr="00846BEE">
        <w:rPr>
          <w:lang w:val="en-GB"/>
        </w:rPr>
        <w:t>, it is always guaranteed that at no time,</w:t>
      </w:r>
      <w:r w:rsidR="00965D91" w:rsidRPr="00846BEE">
        <w:rPr>
          <w:lang w:val="en-GB"/>
        </w:rPr>
        <w:t xml:space="preserve"> the uplink transmission in one cell group is i</w:t>
      </w:r>
      <w:r w:rsidR="00A05F0E" w:rsidRPr="00846BEE">
        <w:rPr>
          <w:lang w:val="en-GB"/>
        </w:rPr>
        <w:t xml:space="preserve">nterrupted </w:t>
      </w:r>
      <w:r w:rsidR="00965D91" w:rsidRPr="00846BEE">
        <w:rPr>
          <w:lang w:val="en-GB"/>
        </w:rPr>
        <w:t>by another uplink transmission in the other cell group</w:t>
      </w:r>
      <w:r w:rsidR="00A05F0E" w:rsidRPr="00846BEE">
        <w:rPr>
          <w:lang w:val="en-GB"/>
        </w:rPr>
        <w:t>, i.e., power scaling due to simultaneous transmissions in the other cell group is not needed, and each transmission’s phase continuity can be preserved</w:t>
      </w:r>
      <w:r w:rsidR="00965D91" w:rsidRPr="00846BEE">
        <w:rPr>
          <w:lang w:val="en-GB"/>
        </w:rPr>
        <w:t xml:space="preserve">. This is an essential </w:t>
      </w:r>
      <w:r w:rsidR="00A05F0E" w:rsidRPr="00846BEE">
        <w:rPr>
          <w:lang w:val="en-GB"/>
        </w:rPr>
        <w:t xml:space="preserve">feature of a semi-static power sharing scheme for dual-connectivity deployment; due to the absence of coordination across the </w:t>
      </w:r>
      <w:proofErr w:type="spellStart"/>
      <w:r w:rsidR="00A05F0E" w:rsidRPr="00846BEE">
        <w:rPr>
          <w:lang w:val="en-GB"/>
        </w:rPr>
        <w:t>gNBs</w:t>
      </w:r>
      <w:proofErr w:type="spellEnd"/>
      <w:r w:rsidR="00A05F0E" w:rsidRPr="00846BEE">
        <w:rPr>
          <w:lang w:val="en-GB"/>
        </w:rPr>
        <w:t xml:space="preserve">, with semi-static power sharing, the network operation is predictable. Another important aspect to consider is that under a semi-static power sharing, uplink link adaptation can </w:t>
      </w:r>
      <w:proofErr w:type="spellStart"/>
      <w:r w:rsidR="00A05F0E" w:rsidRPr="00846BEE">
        <w:rPr>
          <w:lang w:val="en-GB"/>
        </w:rPr>
        <w:t>ber</w:t>
      </w:r>
      <w:proofErr w:type="spellEnd"/>
      <w:r w:rsidR="00A05F0E" w:rsidRPr="00846BEE">
        <w:rPr>
          <w:lang w:val="en-GB"/>
        </w:rPr>
        <w:t xml:space="preserve"> performed efficiently. A </w:t>
      </w:r>
      <w:proofErr w:type="spellStart"/>
      <w:r w:rsidR="00A05F0E" w:rsidRPr="00846BEE">
        <w:rPr>
          <w:lang w:val="en-GB"/>
        </w:rPr>
        <w:t>gNB</w:t>
      </w:r>
      <w:proofErr w:type="spellEnd"/>
      <w:r w:rsidR="00A05F0E" w:rsidRPr="00846BEE">
        <w:rPr>
          <w:lang w:val="en-GB"/>
        </w:rPr>
        <w:t xml:space="preserve"> decides the uplink MCS based on its local information about the UE’s channel conditions and available power. With such information, uplink MCS can be set accordingly. </w:t>
      </w:r>
    </w:p>
    <w:p w14:paraId="36127B41" w14:textId="0046E432" w:rsidR="00D32C7A" w:rsidRPr="000B6B09" w:rsidRDefault="00B5720F" w:rsidP="00214148">
      <w:pPr>
        <w:jc w:val="both"/>
        <w:rPr>
          <w:lang w:val="en-GB"/>
        </w:rPr>
      </w:pPr>
      <w:r w:rsidRPr="00846BEE">
        <w:rPr>
          <w:lang w:val="en-GB"/>
        </w:rPr>
        <w:t>An alternative solution for uplink power control in a dual-</w:t>
      </w:r>
      <w:proofErr w:type="spellStart"/>
      <w:r w:rsidRPr="00846BEE">
        <w:rPr>
          <w:lang w:val="en-GB"/>
        </w:rPr>
        <w:t>coonectivity</w:t>
      </w:r>
      <w:proofErr w:type="spellEnd"/>
      <w:r w:rsidRPr="00846BEE">
        <w:rPr>
          <w:lang w:val="en-GB"/>
        </w:rPr>
        <w:t xml:space="preserve"> deployment is to allow for dynamic power sharing across the cell groups. Under this scheme, the total allowed power can be shared across the two cell groups dynamically. As an example, each cell group may be assigned a minimum reserved power. This power is guaranteed for each cell </w:t>
      </w:r>
      <w:proofErr w:type="gramStart"/>
      <w:r w:rsidRPr="00846BEE">
        <w:rPr>
          <w:lang w:val="en-GB"/>
        </w:rPr>
        <w:t>group, and</w:t>
      </w:r>
      <w:proofErr w:type="gramEnd"/>
      <w:r w:rsidRPr="00846BEE">
        <w:rPr>
          <w:lang w:val="en-GB"/>
        </w:rPr>
        <w:t xml:space="preserve"> cannot be recycled by the other cell group. </w:t>
      </w:r>
      <w:proofErr w:type="gramStart"/>
      <w:r w:rsidRPr="00846BEE">
        <w:rPr>
          <w:lang w:val="en-GB"/>
        </w:rPr>
        <w:t>As long as</w:t>
      </w:r>
      <w:proofErr w:type="gramEnd"/>
      <w:r w:rsidRPr="00846BEE">
        <w:rPr>
          <w:lang w:val="en-GB"/>
        </w:rPr>
        <w:t xml:space="preserve"> the uplink transmission’s power remains within this boundary, the transmission is not impacted by the concurrent transmission in the other cell group. However, if the </w:t>
      </w:r>
      <w:proofErr w:type="spellStart"/>
      <w:r w:rsidRPr="00846BEE">
        <w:rPr>
          <w:lang w:val="en-GB"/>
        </w:rPr>
        <w:t>gNB</w:t>
      </w:r>
      <w:proofErr w:type="spellEnd"/>
      <w:r w:rsidRPr="00846BEE">
        <w:rPr>
          <w:lang w:val="en-GB"/>
        </w:rPr>
        <w:t xml:space="preserve"> decides to request for a larger amount of power, </w:t>
      </w:r>
      <w:r w:rsidR="00001E81" w:rsidRPr="00846BEE">
        <w:rPr>
          <w:lang w:val="en-GB"/>
        </w:rPr>
        <w:t xml:space="preserve">it is not guaranteed whether the transmission remains uninterrupted. </w:t>
      </w:r>
      <w:r w:rsidR="000B6B09" w:rsidRPr="00846BEE">
        <w:rPr>
          <w:lang w:val="en-GB"/>
        </w:rPr>
        <w:t xml:space="preserve">As an example, assume that PUSCH A is scheduled with uplink power P_A &gt; P_res,2 in cell group 2. Another uplink transmission, PUSCH B, with a higher priority is then triggered in the other cell </w:t>
      </w:r>
      <w:proofErr w:type="gramStart"/>
      <w:r w:rsidR="000B6B09" w:rsidRPr="00846BEE">
        <w:rPr>
          <w:lang w:val="en-GB"/>
        </w:rPr>
        <w:t>group, and</w:t>
      </w:r>
      <w:proofErr w:type="gramEnd"/>
      <w:r w:rsidR="000B6B09" w:rsidRPr="00846BEE">
        <w:rPr>
          <w:lang w:val="en-GB"/>
        </w:rPr>
        <w:t xml:space="preserve"> is requested to be sent with uplink power P_B &gt; P_res,1 such that P_A+P_B &gt; </w:t>
      </w:r>
      <w:proofErr w:type="spellStart"/>
      <w:r w:rsidR="000B6B09" w:rsidRPr="00846BEE">
        <w:rPr>
          <w:lang w:val="en-GB"/>
        </w:rPr>
        <w:t>P_tot</w:t>
      </w:r>
      <w:proofErr w:type="spellEnd"/>
      <w:r w:rsidR="000B6B09" w:rsidRPr="00846BEE">
        <w:rPr>
          <w:lang w:val="en-GB"/>
        </w:rPr>
        <w:t xml:space="preserve">. In such a case, the power of PUSCH A needs to be scaled down in the middle of the transmission. Any power re-scaling in the middle of the transmission can cause phase discontinuity, i.e., the DMRS and data symbols may be out of phase. In such a case, the uplink transmission cannot be decoded. Since such interruptions are not under the control of the </w:t>
      </w:r>
      <w:proofErr w:type="spellStart"/>
      <w:r w:rsidR="000B6B09" w:rsidRPr="00846BEE">
        <w:rPr>
          <w:lang w:val="en-GB"/>
        </w:rPr>
        <w:t>gNB’s</w:t>
      </w:r>
      <w:proofErr w:type="spellEnd"/>
      <w:r w:rsidR="000B6B09" w:rsidRPr="00846BEE">
        <w:rPr>
          <w:lang w:val="en-GB"/>
        </w:rPr>
        <w:t xml:space="preserve"> scheduler, they cannot be avoided. The main drawback of the dynamic power sharing is that the network </w:t>
      </w:r>
      <w:proofErr w:type="spellStart"/>
      <w:r w:rsidR="000B6B09" w:rsidRPr="00846BEE">
        <w:rPr>
          <w:lang w:val="en-GB"/>
        </w:rPr>
        <w:t>opration</w:t>
      </w:r>
      <w:proofErr w:type="spellEnd"/>
      <w:r w:rsidR="000B6B09" w:rsidRPr="00846BEE">
        <w:rPr>
          <w:lang w:val="en-GB"/>
        </w:rPr>
        <w:t xml:space="preserve"> is not predictable. This makes the dynamic power sharing schemes less favourable.</w:t>
      </w:r>
      <w:bookmarkStart w:id="2" w:name="_GoBack"/>
      <w:bookmarkEnd w:id="2"/>
      <w:r w:rsidR="000B6B09">
        <w:rPr>
          <w:lang w:val="en-GB"/>
        </w:rPr>
        <w:t xml:space="preserve"> </w:t>
      </w:r>
    </w:p>
    <w:p w14:paraId="0E07AC2D" w14:textId="4AD09731" w:rsidR="006838AD" w:rsidRPr="00DE44D6" w:rsidRDefault="000A1AA8" w:rsidP="006838AD">
      <w:pPr>
        <w:pStyle w:val="Heading1"/>
        <w:jc w:val="both"/>
        <w:rPr>
          <w:rFonts w:ascii="Times New Roman" w:hAnsi="Times New Roman"/>
        </w:rPr>
      </w:pPr>
      <w:r>
        <w:rPr>
          <w:rFonts w:ascii="Times New Roman" w:hAnsi="Times New Roman"/>
        </w:rPr>
        <w:t>Uplink Power Control Solution for Rel. 16 NN-DC</w:t>
      </w:r>
    </w:p>
    <w:p w14:paraId="4CF96C72" w14:textId="2BF7B32E" w:rsidR="001E634E" w:rsidRDefault="000B6B09" w:rsidP="002F714F">
      <w:pPr>
        <w:jc w:val="both"/>
      </w:pPr>
      <w:r>
        <w:t>As mentioned in the preceding section, a</w:t>
      </w:r>
      <w:r w:rsidR="005D5363" w:rsidRPr="005D5363">
        <w:t xml:space="preserve"> practical scheme for uplink power control should </w:t>
      </w:r>
      <w:r>
        <w:t>a</w:t>
      </w:r>
      <w:r w:rsidR="002F714F" w:rsidRPr="000B6B09">
        <w:t xml:space="preserve">llow a </w:t>
      </w:r>
      <w:proofErr w:type="spellStart"/>
      <w:r w:rsidR="002F714F" w:rsidRPr="000B6B09">
        <w:t>gNB</w:t>
      </w:r>
      <w:proofErr w:type="spellEnd"/>
      <w:r w:rsidR="002F714F" w:rsidRPr="000B6B09">
        <w:t xml:space="preserve"> to make scheduling decisions independently.</w:t>
      </w:r>
      <w:r w:rsidR="00AC3768">
        <w:t xml:space="preserve"> Satisfying this condition</w:t>
      </w:r>
      <w:r w:rsidR="001E634E">
        <w:t xml:space="preserve">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 Under condition (2), each </w:t>
      </w:r>
      <w:proofErr w:type="spellStart"/>
      <w:r w:rsidR="001E634E">
        <w:t>gNB</w:t>
      </w:r>
      <w:proofErr w:type="spellEnd"/>
      <w:r w:rsidR="001E634E">
        <w:t xml:space="preserve"> can make its scheduling decisions independently, and is certain that the UE’s uplink transmissions are not interrupted unless controlled by the same </w:t>
      </w:r>
      <w:proofErr w:type="spellStart"/>
      <w:r w:rsidR="001E634E">
        <w:t>gNB</w:t>
      </w:r>
      <w:proofErr w:type="spellEnd"/>
      <w:r w:rsidR="001E634E">
        <w:t xml:space="preserve">. The following solution </w:t>
      </w:r>
      <w:r w:rsidR="00AC3768">
        <w:t>allows for predictable network operation</w:t>
      </w:r>
      <w:r w:rsidR="001E634E">
        <w:t>:</w:t>
      </w:r>
    </w:p>
    <w:p w14:paraId="6AB5DA19" w14:textId="55DEDF2D" w:rsidR="006A1587" w:rsidRDefault="006A1587" w:rsidP="002F714F">
      <w:pPr>
        <w:jc w:val="both"/>
      </w:pPr>
      <w:r>
        <w:t>Under the proposed solution, from the network side, the following step should be taken for each UE:</w:t>
      </w:r>
    </w:p>
    <w:p w14:paraId="698BADE9" w14:textId="3D148F12"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A UE should be configured with two sets of maximum allowed powers for each cell group</w:t>
      </w:r>
    </w:p>
    <w:p w14:paraId="58C16F6B" w14:textId="074C7387" w:rsidR="006A1587" w:rsidRDefault="006A1587" w:rsidP="006A1587">
      <w:pPr>
        <w:pStyle w:val="ListParagraph"/>
        <w:numPr>
          <w:ilvl w:val="1"/>
          <w:numId w:val="8"/>
        </w:numPr>
        <w:jc w:val="both"/>
        <w:rPr>
          <w:rFonts w:ascii="Times New Roman" w:hAnsi="Times New Roman"/>
          <w:sz w:val="20"/>
        </w:rPr>
      </w:pPr>
      <w:r>
        <w:rPr>
          <w:rFonts w:ascii="Times New Roman" w:hAnsi="Times New Roman"/>
          <w:sz w:val="20"/>
        </w:rPr>
        <w:t>Set1 = {P_NR</w:t>
      </w:r>
      <w:proofErr w:type="gramStart"/>
      <w:r>
        <w:rPr>
          <w:rFonts w:ascii="Times New Roman" w:hAnsi="Times New Roman"/>
          <w:sz w:val="20"/>
        </w:rPr>
        <w:t>1,P</w:t>
      </w:r>
      <w:proofErr w:type="gramEnd"/>
      <w:r>
        <w:rPr>
          <w:rFonts w:ascii="Times New Roman" w:hAnsi="Times New Roman"/>
          <w:sz w:val="20"/>
        </w:rPr>
        <w:t xml:space="preserve">_NR2}, where </w:t>
      </w:r>
      <w:proofErr w:type="spellStart"/>
      <w:r>
        <w:rPr>
          <w:rFonts w:ascii="Times New Roman" w:hAnsi="Times New Roman"/>
          <w:sz w:val="20"/>
        </w:rPr>
        <w:t>P_NRi</w:t>
      </w:r>
      <w:proofErr w:type="spellEnd"/>
      <w:r>
        <w:rPr>
          <w:rFonts w:ascii="Times New Roman" w:hAnsi="Times New Roman"/>
          <w:sz w:val="20"/>
        </w:rPr>
        <w:t xml:space="preserve"> is the maximum allowed power of cell group </w:t>
      </w:r>
      <w:proofErr w:type="spellStart"/>
      <w:r>
        <w:rPr>
          <w:rFonts w:ascii="Times New Roman" w:hAnsi="Times New Roman"/>
          <w:sz w:val="20"/>
        </w:rPr>
        <w:t>i</w:t>
      </w:r>
      <w:proofErr w:type="spellEnd"/>
      <w:r>
        <w:rPr>
          <w:rFonts w:ascii="Times New Roman" w:hAnsi="Times New Roman"/>
          <w:sz w:val="20"/>
        </w:rPr>
        <w:t>, and P_NR1+P_NR2 &lt; = &gt; P_NN. P_NN is the maximum allowed power across all serving cells defined for NN-DC operation.</w:t>
      </w:r>
    </w:p>
    <w:p w14:paraId="1AF8B705" w14:textId="32049F61" w:rsidR="006A1587" w:rsidRDefault="006A1587" w:rsidP="006A1587">
      <w:pPr>
        <w:pStyle w:val="ListParagraph"/>
        <w:numPr>
          <w:ilvl w:val="1"/>
          <w:numId w:val="8"/>
        </w:numPr>
        <w:jc w:val="both"/>
        <w:rPr>
          <w:rFonts w:ascii="Times New Roman" w:hAnsi="Times New Roman"/>
          <w:sz w:val="20"/>
        </w:rPr>
      </w:pPr>
      <w:r>
        <w:rPr>
          <w:rFonts w:ascii="Times New Roman" w:hAnsi="Times New Roman"/>
          <w:sz w:val="20"/>
        </w:rPr>
        <w:t>Set 2 = {P_NR1</w:t>
      </w:r>
      <w:proofErr w:type="gramStart"/>
      <w:r>
        <w:rPr>
          <w:rFonts w:ascii="Times New Roman" w:hAnsi="Times New Roman"/>
          <w:sz w:val="20"/>
        </w:rPr>
        <w:t>’,P</w:t>
      </w:r>
      <w:proofErr w:type="gramEnd"/>
      <w:r>
        <w:rPr>
          <w:rFonts w:ascii="Times New Roman" w:hAnsi="Times New Roman"/>
          <w:sz w:val="20"/>
        </w:rPr>
        <w:t>_NR2’}, where P_NR1’+P_NR2’ &lt;= P_NN.</w:t>
      </w:r>
    </w:p>
    <w:p w14:paraId="76632626" w14:textId="757916F5" w:rsidR="006A1587" w:rsidRPr="00476CEE" w:rsidRDefault="006A1587" w:rsidP="006A1587">
      <w:pPr>
        <w:pStyle w:val="ListParagraph"/>
        <w:numPr>
          <w:ilvl w:val="0"/>
          <w:numId w:val="8"/>
        </w:numPr>
        <w:jc w:val="both"/>
        <w:rPr>
          <w:rFonts w:ascii="Times New Roman" w:hAnsi="Times New Roman"/>
          <w:sz w:val="20"/>
        </w:rPr>
      </w:pPr>
      <w:r w:rsidRPr="00476CEE">
        <w:rPr>
          <w:rFonts w:ascii="Times New Roman" w:hAnsi="Times New Roman"/>
          <w:sz w:val="20"/>
        </w:rPr>
        <w:t>For any FDD serving cell, a UE is configured with a UE-specific DL/UL configuration.</w:t>
      </w:r>
    </w:p>
    <w:p w14:paraId="4172B1D6" w14:textId="11F18949" w:rsidR="006A1587" w:rsidRDefault="006A1587" w:rsidP="006A1587">
      <w:pPr>
        <w:jc w:val="both"/>
      </w:pPr>
    </w:p>
    <w:p w14:paraId="7A2C8085" w14:textId="1EA484E3" w:rsidR="006A1587" w:rsidRDefault="006A1587" w:rsidP="006A1587">
      <w:pPr>
        <w:jc w:val="both"/>
      </w:pPr>
      <w:r w:rsidRPr="00046296">
        <w:t xml:space="preserve">From the UE side, the following behavior </w:t>
      </w:r>
      <w:r w:rsidR="00476CEE">
        <w:t>is expected</w:t>
      </w:r>
      <w:r w:rsidRPr="00046296">
        <w:t>:</w:t>
      </w:r>
    </w:p>
    <w:p w14:paraId="2BDB6ECD" w14:textId="5C711A38" w:rsidR="00046296" w:rsidRDefault="006A1587" w:rsidP="006A1587">
      <w:pPr>
        <w:pStyle w:val="ListParagraph"/>
        <w:numPr>
          <w:ilvl w:val="0"/>
          <w:numId w:val="9"/>
        </w:numPr>
        <w:jc w:val="both"/>
        <w:rPr>
          <w:rFonts w:ascii="Times New Roman" w:hAnsi="Times New Roman"/>
          <w:sz w:val="20"/>
        </w:rPr>
      </w:pPr>
      <w:r>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associated with the serving group from set 1. Otherwise, if at least one symbol of any of the serving cells of the other serving group is configured as `uplink’ or `flexible’, then the UE selects the maximum power from set 2. </w:t>
      </w:r>
    </w:p>
    <w:p w14:paraId="3BCC78B0" w14:textId="77777777" w:rsidR="00046296" w:rsidRDefault="00046296" w:rsidP="00046296">
      <w:pPr>
        <w:jc w:val="both"/>
      </w:pPr>
    </w:p>
    <w:p w14:paraId="7CEF7CBA" w14:textId="50BC3047" w:rsidR="00046296" w:rsidRDefault="00046296" w:rsidP="00046296">
      <w:pPr>
        <w:jc w:val="both"/>
      </w:pPr>
      <w:r>
        <w:t xml:space="preserve">The network and UE behaviors </w:t>
      </w:r>
      <w:r w:rsidR="00DB41E8">
        <w:t xml:space="preserve">under the proposed scheme </w:t>
      </w:r>
      <w:r>
        <w:t>are summarized in Figure 1.</w:t>
      </w:r>
      <w:r w:rsidR="00700DD5">
        <w:t xml:space="preserve"> In addition, an example of this scheme is illustrated in Figure 2.</w:t>
      </w:r>
    </w:p>
    <w:p w14:paraId="39656A74" w14:textId="77777777" w:rsidR="00046296" w:rsidRDefault="00046296" w:rsidP="00046296">
      <w:pPr>
        <w:jc w:val="both"/>
      </w:pPr>
    </w:p>
    <w:p w14:paraId="49DDEC5F" w14:textId="71E68C79" w:rsidR="00046296" w:rsidRDefault="00DB41E8" w:rsidP="00046296">
      <w:pPr>
        <w:keepNext/>
        <w:jc w:val="center"/>
      </w:pPr>
      <w:r w:rsidRPr="00DB41E8">
        <w:object w:dxaOrig="23970" w:dyaOrig="8671" w14:anchorId="778BA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179.5pt" o:ole="">
            <v:imagedata r:id="rId12" o:title=""/>
          </v:shape>
          <o:OLEObject Type="Embed" ProgID="Visio.Drawing.15" ShapeID="_x0000_i1025" DrawAspect="Content" ObjectID="_1611774292" r:id="rId13"/>
        </w:object>
      </w:r>
    </w:p>
    <w:p w14:paraId="0F390ED1" w14:textId="7316C97D" w:rsidR="006A1587" w:rsidRDefault="00046296" w:rsidP="00046296">
      <w:pPr>
        <w:pStyle w:val="Caption"/>
        <w:jc w:val="center"/>
      </w:pPr>
      <w:r>
        <w:t xml:space="preserve">Figure </w:t>
      </w:r>
      <w:r w:rsidR="006B57D8">
        <w:rPr>
          <w:noProof/>
        </w:rPr>
        <w:fldChar w:fldCharType="begin"/>
      </w:r>
      <w:r w:rsidR="006B57D8">
        <w:rPr>
          <w:noProof/>
        </w:rPr>
        <w:instrText xml:space="preserve"> SEQ Figure \* ARABIC </w:instrText>
      </w:r>
      <w:r w:rsidR="006B57D8">
        <w:rPr>
          <w:noProof/>
        </w:rPr>
        <w:fldChar w:fldCharType="separate"/>
      </w:r>
      <w:r w:rsidR="00700DD5">
        <w:rPr>
          <w:noProof/>
        </w:rPr>
        <w:t>1</w:t>
      </w:r>
      <w:r w:rsidR="006B57D8">
        <w:rPr>
          <w:noProof/>
        </w:rPr>
        <w:fldChar w:fldCharType="end"/>
      </w:r>
      <w:r>
        <w:t xml:space="preserve">: </w:t>
      </w:r>
      <w:r w:rsidRPr="00F40475">
        <w:t>The network and UE operations under the proposed uplink power control scheme for NN-DC.</w:t>
      </w:r>
    </w:p>
    <w:p w14:paraId="125B145F" w14:textId="5E94FABE" w:rsidR="00046296" w:rsidRDefault="00046296" w:rsidP="00046296"/>
    <w:p w14:paraId="2B639409" w14:textId="1E05D6A3" w:rsidR="00700DD5" w:rsidRDefault="00700DD5" w:rsidP="00700DD5">
      <w:pPr>
        <w:keepNext/>
        <w:jc w:val="center"/>
      </w:pPr>
      <w:r>
        <w:object w:dxaOrig="17956" w:dyaOrig="9586" w14:anchorId="43EF85E0">
          <v:shape id="_x0000_i1026" type="#_x0000_t75" style="width:496.5pt;height:266.5pt" o:ole="">
            <v:imagedata r:id="rId14" o:title=""/>
          </v:shape>
          <o:OLEObject Type="Embed" ProgID="Visio.Drawing.15" ShapeID="_x0000_i1026" DrawAspect="Content" ObjectID="_1611774293" r:id="rId15"/>
        </w:object>
      </w:r>
    </w:p>
    <w:p w14:paraId="14643AE5" w14:textId="36253A65" w:rsidR="00700DD5" w:rsidRDefault="00700DD5" w:rsidP="00700DD5">
      <w:pPr>
        <w:pStyle w:val="Caption"/>
        <w:jc w:val="center"/>
      </w:pPr>
      <w:r w:rsidRPr="001930F2">
        <w:t xml:space="preserve">Figure </w:t>
      </w:r>
      <w:r w:rsidR="006B57D8">
        <w:rPr>
          <w:noProof/>
        </w:rPr>
        <w:fldChar w:fldCharType="begin"/>
      </w:r>
      <w:r w:rsidR="006B57D8">
        <w:rPr>
          <w:noProof/>
        </w:rPr>
        <w:instrText xml:space="preserve"> SEQ Figure \* ARABIC </w:instrText>
      </w:r>
      <w:r w:rsidR="006B57D8">
        <w:rPr>
          <w:noProof/>
        </w:rPr>
        <w:fldChar w:fldCharType="separate"/>
      </w:r>
      <w:r w:rsidRPr="001930F2">
        <w:rPr>
          <w:noProof/>
        </w:rPr>
        <w:t>2</w:t>
      </w:r>
      <w:r w:rsidR="006B57D8">
        <w:rPr>
          <w:noProof/>
        </w:rPr>
        <w:fldChar w:fldCharType="end"/>
      </w:r>
      <w:r w:rsidRPr="001930F2">
        <w:t>: An illustration of the proposed uplink power control scheme.</w:t>
      </w:r>
    </w:p>
    <w:p w14:paraId="071C30C9" w14:textId="77777777" w:rsidR="00700DD5" w:rsidRDefault="00700DD5" w:rsidP="00F50711">
      <w:pPr>
        <w:jc w:val="both"/>
      </w:pPr>
    </w:p>
    <w:p w14:paraId="0999D1BE" w14:textId="6F45D4CA" w:rsidR="00700DD5" w:rsidRDefault="00700DD5" w:rsidP="00F50711">
      <w:pPr>
        <w:jc w:val="both"/>
      </w:pPr>
      <w:r>
        <w:t xml:space="preserve">In the example shown in Figure 2, the semi-statically configured slot formats on serving cells of the first cell group are </w:t>
      </w:r>
      <w:r w:rsidR="00F725E5">
        <w:t xml:space="preserve">illustrated. Then, on CC3 and for PUSCH1, the direction of all the overlapping symbols of serving cells in CG1 is set to downlink. Hence, at the time of transmission of PUSCH1, the UE is certain that PUSCH1 does not collide with any uplink channel on CG1; thus, it selects its maximum allowed power from set 1.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transmission is selected from set 2.  </w:t>
      </w:r>
      <w:r>
        <w:t xml:space="preserve"> </w:t>
      </w:r>
    </w:p>
    <w:p w14:paraId="47B96DCC" w14:textId="77BFE45D" w:rsidR="00700DD5" w:rsidRDefault="00DB41E8" w:rsidP="00F50711">
      <w:pPr>
        <w:jc w:val="both"/>
      </w:pPr>
      <w:r>
        <w:t xml:space="preserve">As evident from the description of the proposed scheme, </w:t>
      </w:r>
      <w:r w:rsidR="005102D7">
        <w:t xml:space="preserve">for setting the </w:t>
      </w:r>
      <w:r w:rsidR="00F50711">
        <w:t xml:space="preserve">maximum power per cell group, the UE can only rely on the semi-static configuration of the other serving cell;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sufficient flexibility for the network to balance the priority of the two groups by appropriately setting the maximum powers in each group. </w:t>
      </w:r>
      <w:proofErr w:type="gramStart"/>
      <w:r w:rsidR="00F725E5">
        <w:t>In particular, a</w:t>
      </w:r>
      <w:proofErr w:type="gramEnd"/>
      <w:r w:rsidR="00F725E5">
        <w:t xml:space="preserve"> higher priority can be given to CG1 by allocating a larger portion of P_NN to P_NR1’ or a higher priority can be given to CG2 by assigning a larger fraction of P_NN to P_NR2’. </w:t>
      </w:r>
    </w:p>
    <w:p w14:paraId="74F64F19" w14:textId="0D4C2EC7" w:rsidR="004620B1" w:rsidRDefault="00F725E5" w:rsidP="00F50711">
      <w:pPr>
        <w:jc w:val="both"/>
      </w:pPr>
      <w:r w:rsidRPr="00374806">
        <w:t xml:space="preserve">Finally, it should be emphasized </w:t>
      </w:r>
      <w:r w:rsidR="005E7CE0" w:rsidRPr="00374806">
        <w:t>that the proposed scheme can be made</w:t>
      </w:r>
      <w:r w:rsidRPr="00374806">
        <w:t xml:space="preserve"> applicable to both synchronous as well as asynchronous deployments.</w:t>
      </w:r>
      <w:r w:rsidR="00D978B4">
        <w:t xml:space="preserve"> In a </w:t>
      </w:r>
      <w:proofErr w:type="gramStart"/>
      <w:r w:rsidR="00D978B4">
        <w:t xml:space="preserve">synchronous </w:t>
      </w:r>
      <w:r w:rsidR="00094E1A">
        <w:t>deploym</w:t>
      </w:r>
      <w:r w:rsidR="00374806">
        <w:t>ents</w:t>
      </w:r>
      <w:proofErr w:type="gramEnd"/>
      <w:r w:rsidR="00374806">
        <w:t xml:space="preserve">, the two </w:t>
      </w:r>
      <w:proofErr w:type="spellStart"/>
      <w:r w:rsidR="00374806">
        <w:t>gNBs</w:t>
      </w:r>
      <w:proofErr w:type="spellEnd"/>
      <w:r w:rsidR="00374806">
        <w:t xml:space="preserve"> can exchange</w:t>
      </w:r>
      <w:r w:rsidR="00094E1A">
        <w:t xml:space="preserve"> their semi-static </w:t>
      </w:r>
      <w:r w:rsidR="00625C53">
        <w:t xml:space="preserve">slot format configurations to manage their scheduling decisions. From the UE side, </w:t>
      </w:r>
      <w:r w:rsidR="005E7CE0">
        <w:t xml:space="preserve">the set of symbols colliding at each occasion and their directions are fixed. </w:t>
      </w:r>
      <w:r w:rsidR="005E7CE0" w:rsidRPr="00374806">
        <w:t>Hence, the semi-static slot format configurations of the two serving cells are needed to be exchanged once between the processing units of each cell group</w:t>
      </w:r>
      <w:r w:rsidR="005E7CE0">
        <w:t>. In an asynchronous deployment,</w:t>
      </w:r>
      <w:r w:rsidR="00374806">
        <w:t xml:space="preserve"> the set of symbols colliding</w:t>
      </w:r>
      <w:r w:rsidR="005E7CE0">
        <w:t xml:space="preserve"> at each uplink occasion is not fixed since the uplink slots can be shifted relative to each other in the time domain. Hence, </w:t>
      </w:r>
      <w:r w:rsidR="004620B1">
        <w:t>coordinating the slot format configurations</w:t>
      </w:r>
      <w:r w:rsidR="005E7CE0">
        <w:t xml:space="preserve"> at the network side </w:t>
      </w:r>
      <w:r w:rsidR="004620B1">
        <w:t xml:space="preserve">cannot be done. From the UE side, the list of the symbols that potentially colliding is changing as the slots move around relative to each other in the time domain. In such a case, a special case of the proposed solution can be adopted. </w:t>
      </w:r>
      <w:proofErr w:type="gramStart"/>
      <w:r w:rsidR="004620B1">
        <w:t>In particular, for</w:t>
      </w:r>
      <w:proofErr w:type="gramEnd"/>
      <w:r w:rsidR="004620B1">
        <w:t xml:space="preserve"> each uplink transmission, </w:t>
      </w:r>
      <w:r w:rsidR="004620B1" w:rsidRPr="00374806">
        <w:t>the UE assumes an uplink transmission is taking place on the other cell group, and always selects its power from set 2. In other words, the UE is only configured with one set of maximum allowed powers, P_NR1 and P_NR2, and does not expect to have P_NR1+P_NR2 &gt; P_NN.</w:t>
      </w:r>
    </w:p>
    <w:p w14:paraId="17A8C185" w14:textId="4CAD48E1" w:rsidR="00F725E5" w:rsidRDefault="007E0316" w:rsidP="00F50711">
      <w:pPr>
        <w:jc w:val="both"/>
      </w:pPr>
      <w:r>
        <w:t>Based on the above discussions, we propose:</w:t>
      </w:r>
    </w:p>
    <w:p w14:paraId="1D136146" w14:textId="77777777" w:rsidR="002E7AA9" w:rsidRDefault="002E7AA9" w:rsidP="00F50711">
      <w:pPr>
        <w:jc w:val="both"/>
      </w:pPr>
    </w:p>
    <w:p w14:paraId="384BC4EF" w14:textId="2BECFF05" w:rsidR="002E7AA9" w:rsidRDefault="007E0316" w:rsidP="002E7AA9">
      <w:pPr>
        <w:jc w:val="both"/>
        <w:rPr>
          <w:b/>
        </w:rPr>
      </w:pPr>
      <w:r w:rsidRPr="007E0316">
        <w:rPr>
          <w:b/>
        </w:rPr>
        <w:lastRenderedPageBreak/>
        <w:t xml:space="preserve">Proposal 1: </w:t>
      </w:r>
      <w:r w:rsidR="002E7AA9">
        <w:rPr>
          <w:b/>
        </w:rPr>
        <w:t>For uplink power control of synchronous NN-DC, the UE is configured with:</w:t>
      </w:r>
    </w:p>
    <w:p w14:paraId="7622BA52" w14:textId="1B8099A6" w:rsidR="002E7AA9" w:rsidRPr="002E7AA9" w:rsidRDefault="002E7AA9" w:rsidP="002E7AA9">
      <w:pPr>
        <w:pStyle w:val="ListParagraph"/>
        <w:numPr>
          <w:ilvl w:val="0"/>
          <w:numId w:val="9"/>
        </w:numPr>
        <w:jc w:val="both"/>
        <w:rPr>
          <w:rFonts w:ascii="Times New Roman" w:hAnsi="Times New Roman"/>
          <w:b/>
          <w:sz w:val="20"/>
        </w:rPr>
      </w:pPr>
      <w:r w:rsidRPr="002E7AA9">
        <w:rPr>
          <w:rFonts w:ascii="Times New Roman" w:hAnsi="Times New Roman"/>
          <w:b/>
          <w:sz w:val="20"/>
        </w:rPr>
        <w:t>Two sets of maximum allowed powers for each cell group</w:t>
      </w:r>
    </w:p>
    <w:p w14:paraId="2D52C0DE" w14:textId="77777777" w:rsidR="002E7AA9" w:rsidRPr="002E7AA9" w:rsidRDefault="002E7AA9" w:rsidP="002E7AA9">
      <w:pPr>
        <w:pStyle w:val="ListParagraph"/>
        <w:numPr>
          <w:ilvl w:val="1"/>
          <w:numId w:val="9"/>
        </w:numPr>
        <w:jc w:val="both"/>
        <w:rPr>
          <w:rFonts w:ascii="Times New Roman" w:hAnsi="Times New Roman"/>
          <w:b/>
          <w:sz w:val="20"/>
        </w:rPr>
      </w:pPr>
      <w:r w:rsidRPr="002E7AA9">
        <w:rPr>
          <w:rFonts w:ascii="Times New Roman" w:hAnsi="Times New Roman"/>
          <w:b/>
          <w:sz w:val="20"/>
        </w:rPr>
        <w:t>Set1 = {P_NR</w:t>
      </w:r>
      <w:proofErr w:type="gramStart"/>
      <w:r w:rsidRPr="002E7AA9">
        <w:rPr>
          <w:rFonts w:ascii="Times New Roman" w:hAnsi="Times New Roman"/>
          <w:b/>
          <w:sz w:val="20"/>
        </w:rPr>
        <w:t>1,P</w:t>
      </w:r>
      <w:proofErr w:type="gramEnd"/>
      <w:r w:rsidRPr="002E7AA9">
        <w:rPr>
          <w:rFonts w:ascii="Times New Roman" w:hAnsi="Times New Roman"/>
          <w:b/>
          <w:sz w:val="20"/>
        </w:rPr>
        <w:t xml:space="preserve">_NR2}, where </w:t>
      </w:r>
      <w:proofErr w:type="spellStart"/>
      <w:r w:rsidRPr="002E7AA9">
        <w:rPr>
          <w:rFonts w:ascii="Times New Roman" w:hAnsi="Times New Roman"/>
          <w:b/>
          <w:sz w:val="20"/>
        </w:rPr>
        <w:t>P_NRi</w:t>
      </w:r>
      <w:proofErr w:type="spellEnd"/>
      <w:r w:rsidRPr="002E7AA9">
        <w:rPr>
          <w:rFonts w:ascii="Times New Roman" w:hAnsi="Times New Roman"/>
          <w:b/>
          <w:sz w:val="20"/>
        </w:rPr>
        <w:t xml:space="preserve"> is the maximum allowed power of cell group </w:t>
      </w:r>
      <w:proofErr w:type="spellStart"/>
      <w:r w:rsidRPr="002E7AA9">
        <w:rPr>
          <w:rFonts w:ascii="Times New Roman" w:hAnsi="Times New Roman"/>
          <w:b/>
          <w:sz w:val="20"/>
        </w:rPr>
        <w:t>i</w:t>
      </w:r>
      <w:proofErr w:type="spellEnd"/>
      <w:r w:rsidRPr="002E7AA9">
        <w:rPr>
          <w:rFonts w:ascii="Times New Roman" w:hAnsi="Times New Roman"/>
          <w:b/>
          <w:sz w:val="20"/>
        </w:rPr>
        <w:t>, and P_NR1+P_NR2 &lt; = &gt; P_NN. P_NN is the maximum allowed power across all serving cells defined for NN-DC operation.</w:t>
      </w:r>
    </w:p>
    <w:p w14:paraId="5ABDDFD6" w14:textId="77777777" w:rsidR="002E7AA9" w:rsidRPr="002E7AA9" w:rsidRDefault="002E7AA9" w:rsidP="002E7AA9">
      <w:pPr>
        <w:pStyle w:val="ListParagraph"/>
        <w:numPr>
          <w:ilvl w:val="1"/>
          <w:numId w:val="9"/>
        </w:numPr>
        <w:jc w:val="both"/>
        <w:rPr>
          <w:rFonts w:ascii="Times New Roman" w:hAnsi="Times New Roman"/>
          <w:b/>
          <w:sz w:val="20"/>
        </w:rPr>
      </w:pPr>
      <w:r w:rsidRPr="002E7AA9">
        <w:rPr>
          <w:rFonts w:ascii="Times New Roman" w:hAnsi="Times New Roman"/>
          <w:b/>
          <w:sz w:val="20"/>
        </w:rPr>
        <w:t>Set 2 = {P_NR1</w:t>
      </w:r>
      <w:proofErr w:type="gramStart"/>
      <w:r w:rsidRPr="002E7AA9">
        <w:rPr>
          <w:rFonts w:ascii="Times New Roman" w:hAnsi="Times New Roman"/>
          <w:b/>
          <w:sz w:val="20"/>
        </w:rPr>
        <w:t>’,P</w:t>
      </w:r>
      <w:proofErr w:type="gramEnd"/>
      <w:r w:rsidRPr="002E7AA9">
        <w:rPr>
          <w:rFonts w:ascii="Times New Roman" w:hAnsi="Times New Roman"/>
          <w:b/>
          <w:sz w:val="20"/>
        </w:rPr>
        <w:t>_NR2’}, where P_NR1’+P_NR2’ &lt;= P_NN.</w:t>
      </w:r>
    </w:p>
    <w:p w14:paraId="4140F0C1" w14:textId="77777777" w:rsidR="002E7AA9" w:rsidRPr="002E7AA9" w:rsidRDefault="002E7AA9" w:rsidP="002E7AA9">
      <w:pPr>
        <w:pStyle w:val="ListParagraph"/>
        <w:numPr>
          <w:ilvl w:val="0"/>
          <w:numId w:val="9"/>
        </w:numPr>
        <w:jc w:val="both"/>
        <w:rPr>
          <w:rFonts w:ascii="Times New Roman" w:hAnsi="Times New Roman"/>
          <w:b/>
          <w:sz w:val="20"/>
        </w:rPr>
      </w:pPr>
      <w:r w:rsidRPr="002E7AA9">
        <w:rPr>
          <w:rFonts w:ascii="Times New Roman" w:hAnsi="Times New Roman"/>
          <w:b/>
          <w:sz w:val="20"/>
        </w:rPr>
        <w:t>For any FDD serving cell, a UE is configured with a UE-specific DL/UL configuration.</w:t>
      </w:r>
    </w:p>
    <w:p w14:paraId="147ECF8B" w14:textId="7D291C31" w:rsidR="002E7AA9" w:rsidRDefault="002E7AA9" w:rsidP="002E7AA9">
      <w:pPr>
        <w:jc w:val="both"/>
        <w:rPr>
          <w:b/>
        </w:rPr>
      </w:pPr>
      <w:r>
        <w:rPr>
          <w:b/>
        </w:rPr>
        <w:t xml:space="preserve">For uplink transmission on a serving cell of </w:t>
      </w:r>
      <w:proofErr w:type="spellStart"/>
      <w:r>
        <w:rPr>
          <w:b/>
        </w:rPr>
        <w:t>CGi</w:t>
      </w:r>
      <w:proofErr w:type="spellEnd"/>
      <w:r>
        <w:rPr>
          <w:b/>
        </w:rPr>
        <w:t>, the UE takes the union of the overlapping symbols of all serving cells of the other cell group. Then,</w:t>
      </w:r>
    </w:p>
    <w:p w14:paraId="2D2B6D6A" w14:textId="7E22BBB3" w:rsidR="002E7AA9" w:rsidRDefault="002E7AA9" w:rsidP="002E7AA9">
      <w:pPr>
        <w:pStyle w:val="ListParagraph"/>
        <w:numPr>
          <w:ilvl w:val="0"/>
          <w:numId w:val="10"/>
        </w:numPr>
        <w:jc w:val="both"/>
        <w:rPr>
          <w:rFonts w:ascii="Times New Roman" w:hAnsi="Times New Roman"/>
          <w:b/>
          <w:sz w:val="20"/>
        </w:rPr>
      </w:pPr>
      <w:r w:rsidRPr="002E7AA9">
        <w:rPr>
          <w:rFonts w:ascii="Times New Roman" w:hAnsi="Times New Roman"/>
          <w:b/>
          <w:sz w:val="20"/>
        </w:rPr>
        <w:t xml:space="preserve">If the union set contains only symbols </w:t>
      </w:r>
      <w:r>
        <w:rPr>
          <w:rFonts w:ascii="Times New Roman" w:hAnsi="Times New Roman"/>
          <w:b/>
          <w:sz w:val="20"/>
        </w:rPr>
        <w:t>whose directions are set semi-statically to `downlink’, the UE chooses the maximum power of the serving cell from set 1.</w:t>
      </w:r>
    </w:p>
    <w:p w14:paraId="1587CDC6" w14:textId="6C01E8FB" w:rsidR="002E7AA9" w:rsidRDefault="002E7AA9" w:rsidP="002E7AA9">
      <w:pPr>
        <w:pStyle w:val="ListParagraph"/>
        <w:numPr>
          <w:ilvl w:val="0"/>
          <w:numId w:val="10"/>
        </w:numPr>
        <w:jc w:val="both"/>
        <w:rPr>
          <w:rFonts w:ascii="Times New Roman" w:hAnsi="Times New Roman"/>
          <w:b/>
          <w:sz w:val="20"/>
        </w:rPr>
      </w:pPr>
      <w:r>
        <w:rPr>
          <w:rFonts w:ascii="Times New Roman" w:hAnsi="Times New Roman"/>
          <w:b/>
          <w:sz w:val="20"/>
        </w:rPr>
        <w:t xml:space="preserve">Otherwise, the maximum power of the serving cell is selected from set 2. </w:t>
      </w:r>
    </w:p>
    <w:p w14:paraId="2053E4DD" w14:textId="63ADD137" w:rsidR="002E7AA9" w:rsidRDefault="002E7AA9" w:rsidP="002E7AA9">
      <w:pPr>
        <w:jc w:val="both"/>
        <w:rPr>
          <w:b/>
        </w:rPr>
      </w:pPr>
    </w:p>
    <w:p w14:paraId="6A7AAD23" w14:textId="32B0B3AD" w:rsidR="002E7AA9" w:rsidRDefault="002E7AA9" w:rsidP="002E7AA9">
      <w:pPr>
        <w:jc w:val="both"/>
        <w:rPr>
          <w:b/>
        </w:rPr>
      </w:pPr>
      <w:r>
        <w:rPr>
          <w:b/>
        </w:rPr>
        <w:t>Proposal 2: For uplink power control of asynchronous NN-DC, the UE is configured with:</w:t>
      </w:r>
    </w:p>
    <w:p w14:paraId="06AA3471" w14:textId="38D9ADF3" w:rsidR="002E7AA9" w:rsidRPr="002E7AA9" w:rsidRDefault="002E7AA9" w:rsidP="002E7AA9">
      <w:pPr>
        <w:pStyle w:val="ListParagraph"/>
        <w:numPr>
          <w:ilvl w:val="0"/>
          <w:numId w:val="9"/>
        </w:numPr>
        <w:jc w:val="both"/>
        <w:rPr>
          <w:rFonts w:ascii="Times New Roman" w:hAnsi="Times New Roman"/>
          <w:b/>
          <w:sz w:val="20"/>
        </w:rPr>
      </w:pPr>
      <w:r>
        <w:rPr>
          <w:rFonts w:ascii="Times New Roman" w:hAnsi="Times New Roman"/>
          <w:b/>
          <w:sz w:val="20"/>
        </w:rPr>
        <w:t>One set</w:t>
      </w:r>
      <w:r w:rsidRPr="002E7AA9">
        <w:rPr>
          <w:rFonts w:ascii="Times New Roman" w:hAnsi="Times New Roman"/>
          <w:b/>
          <w:sz w:val="20"/>
        </w:rPr>
        <w:t xml:space="preserve"> of maximum allowed powers for each cell group</w:t>
      </w:r>
    </w:p>
    <w:p w14:paraId="0BD7F0A2" w14:textId="31D24F0D" w:rsidR="002E7AA9" w:rsidRPr="002E7AA9" w:rsidRDefault="002E7AA9" w:rsidP="002E7AA9">
      <w:pPr>
        <w:pStyle w:val="ListParagraph"/>
        <w:numPr>
          <w:ilvl w:val="1"/>
          <w:numId w:val="9"/>
        </w:numPr>
        <w:jc w:val="both"/>
        <w:rPr>
          <w:rFonts w:ascii="Times New Roman" w:hAnsi="Times New Roman"/>
          <w:b/>
          <w:sz w:val="20"/>
        </w:rPr>
      </w:pPr>
      <w:r>
        <w:rPr>
          <w:rFonts w:ascii="Times New Roman" w:hAnsi="Times New Roman"/>
          <w:b/>
          <w:sz w:val="20"/>
        </w:rPr>
        <w:t>Set 1</w:t>
      </w:r>
      <w:r w:rsidRPr="002E7AA9">
        <w:rPr>
          <w:rFonts w:ascii="Times New Roman" w:hAnsi="Times New Roman"/>
          <w:b/>
          <w:sz w:val="20"/>
        </w:rPr>
        <w:t xml:space="preserve"> = {P_NR</w:t>
      </w:r>
      <w:proofErr w:type="gramStart"/>
      <w:r w:rsidRPr="002E7AA9">
        <w:rPr>
          <w:rFonts w:ascii="Times New Roman" w:hAnsi="Times New Roman"/>
          <w:b/>
          <w:sz w:val="20"/>
        </w:rPr>
        <w:t>1,P</w:t>
      </w:r>
      <w:proofErr w:type="gramEnd"/>
      <w:r w:rsidRPr="002E7AA9">
        <w:rPr>
          <w:rFonts w:ascii="Times New Roman" w:hAnsi="Times New Roman"/>
          <w:b/>
          <w:sz w:val="20"/>
        </w:rPr>
        <w:t>_NR2}, where P_NR1+P_NR2 &lt;= P_NN.</w:t>
      </w:r>
    </w:p>
    <w:p w14:paraId="05469366" w14:textId="78FA0E61" w:rsidR="00046296" w:rsidRPr="00846045" w:rsidRDefault="00846045" w:rsidP="00846045">
      <w:pPr>
        <w:jc w:val="both"/>
        <w:rPr>
          <w:b/>
        </w:rPr>
      </w:pPr>
      <w:r>
        <w:rPr>
          <w:b/>
        </w:rPr>
        <w:t xml:space="preserve">For uplink transmission on a serving cell of </w:t>
      </w:r>
      <w:proofErr w:type="spellStart"/>
      <w:r>
        <w:rPr>
          <w:b/>
        </w:rPr>
        <w:t>CGi</w:t>
      </w:r>
      <w:proofErr w:type="spellEnd"/>
      <w:r>
        <w:rPr>
          <w:b/>
        </w:rPr>
        <w:t xml:space="preserve">, the UE sets the maximum power to </w:t>
      </w:r>
      <w:proofErr w:type="spellStart"/>
      <w:r>
        <w:rPr>
          <w:b/>
        </w:rPr>
        <w:t>P_NRi</w:t>
      </w:r>
      <w:proofErr w:type="spellEnd"/>
      <w:r>
        <w:rPr>
          <w:b/>
        </w:rPr>
        <w:t>. The UE does not expect the sum power taken over all serving cells of the two cell groups to be larger than P_NN.</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47BB6A40"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under the synchronous and asynchronous deployments. Based on the discussions in the paper, the following </w:t>
      </w:r>
      <w:r w:rsidR="00EA7959">
        <w:rPr>
          <w:b w:val="0"/>
          <w:szCs w:val="22"/>
        </w:rPr>
        <w:t>proposals are made</w:t>
      </w:r>
      <w:r>
        <w:rPr>
          <w:b w:val="0"/>
          <w:szCs w:val="22"/>
        </w:rPr>
        <w:t>:</w:t>
      </w:r>
    </w:p>
    <w:p w14:paraId="35754EE3" w14:textId="77777777" w:rsidR="004F69E9" w:rsidRDefault="004F69E9" w:rsidP="004F69E9">
      <w:pPr>
        <w:jc w:val="both"/>
        <w:rPr>
          <w:b/>
        </w:rPr>
      </w:pPr>
      <w:r w:rsidRPr="007E0316">
        <w:rPr>
          <w:b/>
        </w:rPr>
        <w:t xml:space="preserve">Proposal 1: </w:t>
      </w:r>
      <w:r>
        <w:rPr>
          <w:b/>
        </w:rPr>
        <w:t>For uplink power control of synchronous NN-DC, the UE is configured with:</w:t>
      </w:r>
    </w:p>
    <w:p w14:paraId="70603CFE" w14:textId="77777777" w:rsidR="004F69E9" w:rsidRPr="002E7AA9" w:rsidRDefault="004F69E9" w:rsidP="004F69E9">
      <w:pPr>
        <w:pStyle w:val="ListParagraph"/>
        <w:numPr>
          <w:ilvl w:val="0"/>
          <w:numId w:val="9"/>
        </w:numPr>
        <w:jc w:val="both"/>
        <w:rPr>
          <w:rFonts w:ascii="Times New Roman" w:hAnsi="Times New Roman"/>
          <w:b/>
          <w:sz w:val="20"/>
        </w:rPr>
      </w:pPr>
      <w:r w:rsidRPr="002E7AA9">
        <w:rPr>
          <w:rFonts w:ascii="Times New Roman" w:hAnsi="Times New Roman"/>
          <w:b/>
          <w:sz w:val="20"/>
        </w:rPr>
        <w:t>Two sets of maximum allowed powers for each cell group</w:t>
      </w:r>
    </w:p>
    <w:p w14:paraId="3710D702" w14:textId="77777777" w:rsidR="004F69E9" w:rsidRPr="002E7AA9" w:rsidRDefault="004F69E9" w:rsidP="004F69E9">
      <w:pPr>
        <w:pStyle w:val="ListParagraph"/>
        <w:numPr>
          <w:ilvl w:val="1"/>
          <w:numId w:val="9"/>
        </w:numPr>
        <w:jc w:val="both"/>
        <w:rPr>
          <w:rFonts w:ascii="Times New Roman" w:hAnsi="Times New Roman"/>
          <w:b/>
          <w:sz w:val="20"/>
        </w:rPr>
      </w:pPr>
      <w:r w:rsidRPr="002E7AA9">
        <w:rPr>
          <w:rFonts w:ascii="Times New Roman" w:hAnsi="Times New Roman"/>
          <w:b/>
          <w:sz w:val="20"/>
        </w:rPr>
        <w:t>Set1 = {P_NR</w:t>
      </w:r>
      <w:proofErr w:type="gramStart"/>
      <w:r w:rsidRPr="002E7AA9">
        <w:rPr>
          <w:rFonts w:ascii="Times New Roman" w:hAnsi="Times New Roman"/>
          <w:b/>
          <w:sz w:val="20"/>
        </w:rPr>
        <w:t>1,P</w:t>
      </w:r>
      <w:proofErr w:type="gramEnd"/>
      <w:r w:rsidRPr="002E7AA9">
        <w:rPr>
          <w:rFonts w:ascii="Times New Roman" w:hAnsi="Times New Roman"/>
          <w:b/>
          <w:sz w:val="20"/>
        </w:rPr>
        <w:t xml:space="preserve">_NR2}, where </w:t>
      </w:r>
      <w:proofErr w:type="spellStart"/>
      <w:r w:rsidRPr="002E7AA9">
        <w:rPr>
          <w:rFonts w:ascii="Times New Roman" w:hAnsi="Times New Roman"/>
          <w:b/>
          <w:sz w:val="20"/>
        </w:rPr>
        <w:t>P_NRi</w:t>
      </w:r>
      <w:proofErr w:type="spellEnd"/>
      <w:r w:rsidRPr="002E7AA9">
        <w:rPr>
          <w:rFonts w:ascii="Times New Roman" w:hAnsi="Times New Roman"/>
          <w:b/>
          <w:sz w:val="20"/>
        </w:rPr>
        <w:t xml:space="preserve"> is the maximum allowed power of cell group </w:t>
      </w:r>
      <w:proofErr w:type="spellStart"/>
      <w:r w:rsidRPr="002E7AA9">
        <w:rPr>
          <w:rFonts w:ascii="Times New Roman" w:hAnsi="Times New Roman"/>
          <w:b/>
          <w:sz w:val="20"/>
        </w:rPr>
        <w:t>i</w:t>
      </w:r>
      <w:proofErr w:type="spellEnd"/>
      <w:r w:rsidRPr="002E7AA9">
        <w:rPr>
          <w:rFonts w:ascii="Times New Roman" w:hAnsi="Times New Roman"/>
          <w:b/>
          <w:sz w:val="20"/>
        </w:rPr>
        <w:t>, and P_NR1+P_NR2 &lt; = &gt; P_NN. P_NN is the maximum allowed power across all serving cells defined for NN-DC operation.</w:t>
      </w:r>
    </w:p>
    <w:p w14:paraId="1C152F96" w14:textId="77777777" w:rsidR="004F69E9" w:rsidRPr="002E7AA9" w:rsidRDefault="004F69E9" w:rsidP="004F69E9">
      <w:pPr>
        <w:pStyle w:val="ListParagraph"/>
        <w:numPr>
          <w:ilvl w:val="1"/>
          <w:numId w:val="9"/>
        </w:numPr>
        <w:jc w:val="both"/>
        <w:rPr>
          <w:rFonts w:ascii="Times New Roman" w:hAnsi="Times New Roman"/>
          <w:b/>
          <w:sz w:val="20"/>
        </w:rPr>
      </w:pPr>
      <w:r w:rsidRPr="002E7AA9">
        <w:rPr>
          <w:rFonts w:ascii="Times New Roman" w:hAnsi="Times New Roman"/>
          <w:b/>
          <w:sz w:val="20"/>
        </w:rPr>
        <w:t>Set 2 = {P_NR1</w:t>
      </w:r>
      <w:proofErr w:type="gramStart"/>
      <w:r w:rsidRPr="002E7AA9">
        <w:rPr>
          <w:rFonts w:ascii="Times New Roman" w:hAnsi="Times New Roman"/>
          <w:b/>
          <w:sz w:val="20"/>
        </w:rPr>
        <w:t>’,P</w:t>
      </w:r>
      <w:proofErr w:type="gramEnd"/>
      <w:r w:rsidRPr="002E7AA9">
        <w:rPr>
          <w:rFonts w:ascii="Times New Roman" w:hAnsi="Times New Roman"/>
          <w:b/>
          <w:sz w:val="20"/>
        </w:rPr>
        <w:t>_NR2’}, where P_NR1’+P_NR2’ &lt;= P_NN.</w:t>
      </w:r>
    </w:p>
    <w:p w14:paraId="73CF4862" w14:textId="77777777" w:rsidR="004F69E9" w:rsidRPr="002E7AA9" w:rsidRDefault="004F69E9" w:rsidP="004F69E9">
      <w:pPr>
        <w:pStyle w:val="ListParagraph"/>
        <w:numPr>
          <w:ilvl w:val="0"/>
          <w:numId w:val="9"/>
        </w:numPr>
        <w:jc w:val="both"/>
        <w:rPr>
          <w:rFonts w:ascii="Times New Roman" w:hAnsi="Times New Roman"/>
          <w:b/>
          <w:sz w:val="20"/>
        </w:rPr>
      </w:pPr>
      <w:r w:rsidRPr="002E7AA9">
        <w:rPr>
          <w:rFonts w:ascii="Times New Roman" w:hAnsi="Times New Roman"/>
          <w:b/>
          <w:sz w:val="20"/>
        </w:rPr>
        <w:t>For any FDD serving cell, a UE is configured with a UE-specific DL/UL configuration.</w:t>
      </w:r>
    </w:p>
    <w:p w14:paraId="7218CEF6" w14:textId="77777777" w:rsidR="004F69E9" w:rsidRDefault="004F69E9" w:rsidP="004F69E9">
      <w:pPr>
        <w:jc w:val="both"/>
        <w:rPr>
          <w:b/>
        </w:rPr>
      </w:pPr>
      <w:r>
        <w:rPr>
          <w:b/>
        </w:rPr>
        <w:t xml:space="preserve">For uplink transmission on a serving cell of </w:t>
      </w:r>
      <w:proofErr w:type="spellStart"/>
      <w:r>
        <w:rPr>
          <w:b/>
        </w:rPr>
        <w:t>CGi</w:t>
      </w:r>
      <w:proofErr w:type="spellEnd"/>
      <w:r>
        <w:rPr>
          <w:b/>
        </w:rPr>
        <w:t>, the UE takes the union of the overlapping symbols of all serving cells of the other cell group. Then,</w:t>
      </w:r>
    </w:p>
    <w:p w14:paraId="3CC89AD8" w14:textId="77777777" w:rsidR="004F69E9" w:rsidRDefault="004F69E9" w:rsidP="004F69E9">
      <w:pPr>
        <w:pStyle w:val="ListParagraph"/>
        <w:numPr>
          <w:ilvl w:val="0"/>
          <w:numId w:val="10"/>
        </w:numPr>
        <w:jc w:val="both"/>
        <w:rPr>
          <w:rFonts w:ascii="Times New Roman" w:hAnsi="Times New Roman"/>
          <w:b/>
          <w:sz w:val="20"/>
        </w:rPr>
      </w:pPr>
      <w:r w:rsidRPr="002E7AA9">
        <w:rPr>
          <w:rFonts w:ascii="Times New Roman" w:hAnsi="Times New Roman"/>
          <w:b/>
          <w:sz w:val="20"/>
        </w:rPr>
        <w:t xml:space="preserve">If the union set contains only symbols </w:t>
      </w:r>
      <w:r>
        <w:rPr>
          <w:rFonts w:ascii="Times New Roman" w:hAnsi="Times New Roman"/>
          <w:b/>
          <w:sz w:val="20"/>
        </w:rPr>
        <w:t>whose directions are set semi-statically to `downlink’, the UE chooses the maximum power of the serving cell from set 1.</w:t>
      </w:r>
    </w:p>
    <w:p w14:paraId="76E92476" w14:textId="77777777" w:rsidR="004F69E9" w:rsidRDefault="004F69E9" w:rsidP="004F69E9">
      <w:pPr>
        <w:pStyle w:val="ListParagraph"/>
        <w:numPr>
          <w:ilvl w:val="0"/>
          <w:numId w:val="10"/>
        </w:numPr>
        <w:jc w:val="both"/>
        <w:rPr>
          <w:rFonts w:ascii="Times New Roman" w:hAnsi="Times New Roman"/>
          <w:b/>
          <w:sz w:val="20"/>
        </w:rPr>
      </w:pPr>
      <w:r>
        <w:rPr>
          <w:rFonts w:ascii="Times New Roman" w:hAnsi="Times New Roman"/>
          <w:b/>
          <w:sz w:val="20"/>
        </w:rPr>
        <w:t xml:space="preserve">Otherwise, the maximum power of the serving cell is selected from set 2. </w:t>
      </w:r>
    </w:p>
    <w:p w14:paraId="6928B475" w14:textId="77777777" w:rsidR="004F69E9" w:rsidRDefault="004F69E9" w:rsidP="004F69E9">
      <w:pPr>
        <w:jc w:val="both"/>
        <w:rPr>
          <w:b/>
        </w:rPr>
      </w:pPr>
    </w:p>
    <w:p w14:paraId="599FD46E" w14:textId="77777777" w:rsidR="004F69E9" w:rsidRDefault="004F69E9" w:rsidP="004F69E9">
      <w:pPr>
        <w:jc w:val="both"/>
        <w:rPr>
          <w:b/>
        </w:rPr>
      </w:pPr>
      <w:r>
        <w:rPr>
          <w:b/>
        </w:rPr>
        <w:t>Proposal 2: For uplink power control of asynchronous NN-DC, the UE is configured with:</w:t>
      </w:r>
    </w:p>
    <w:p w14:paraId="63A55753" w14:textId="77777777" w:rsidR="004F69E9" w:rsidRPr="002E7AA9" w:rsidRDefault="004F69E9" w:rsidP="004F69E9">
      <w:pPr>
        <w:pStyle w:val="ListParagraph"/>
        <w:numPr>
          <w:ilvl w:val="0"/>
          <w:numId w:val="9"/>
        </w:numPr>
        <w:jc w:val="both"/>
        <w:rPr>
          <w:rFonts w:ascii="Times New Roman" w:hAnsi="Times New Roman"/>
          <w:b/>
          <w:sz w:val="20"/>
        </w:rPr>
      </w:pPr>
      <w:r>
        <w:rPr>
          <w:rFonts w:ascii="Times New Roman" w:hAnsi="Times New Roman"/>
          <w:b/>
          <w:sz w:val="20"/>
        </w:rPr>
        <w:t>One set</w:t>
      </w:r>
      <w:r w:rsidRPr="002E7AA9">
        <w:rPr>
          <w:rFonts w:ascii="Times New Roman" w:hAnsi="Times New Roman"/>
          <w:b/>
          <w:sz w:val="20"/>
        </w:rPr>
        <w:t xml:space="preserve"> of maximum allowed powers for each cell group</w:t>
      </w:r>
    </w:p>
    <w:p w14:paraId="59140369" w14:textId="77777777" w:rsidR="004F69E9" w:rsidRPr="002E7AA9" w:rsidRDefault="004F69E9" w:rsidP="004F69E9">
      <w:pPr>
        <w:pStyle w:val="ListParagraph"/>
        <w:numPr>
          <w:ilvl w:val="1"/>
          <w:numId w:val="9"/>
        </w:numPr>
        <w:jc w:val="both"/>
        <w:rPr>
          <w:rFonts w:ascii="Times New Roman" w:hAnsi="Times New Roman"/>
          <w:b/>
          <w:sz w:val="20"/>
        </w:rPr>
      </w:pPr>
      <w:r>
        <w:rPr>
          <w:rFonts w:ascii="Times New Roman" w:hAnsi="Times New Roman"/>
          <w:b/>
          <w:sz w:val="20"/>
        </w:rPr>
        <w:t>Set 1</w:t>
      </w:r>
      <w:r w:rsidRPr="002E7AA9">
        <w:rPr>
          <w:rFonts w:ascii="Times New Roman" w:hAnsi="Times New Roman"/>
          <w:b/>
          <w:sz w:val="20"/>
        </w:rPr>
        <w:t xml:space="preserve"> = {P_NR</w:t>
      </w:r>
      <w:proofErr w:type="gramStart"/>
      <w:r w:rsidRPr="002E7AA9">
        <w:rPr>
          <w:rFonts w:ascii="Times New Roman" w:hAnsi="Times New Roman"/>
          <w:b/>
          <w:sz w:val="20"/>
        </w:rPr>
        <w:t>1,P</w:t>
      </w:r>
      <w:proofErr w:type="gramEnd"/>
      <w:r w:rsidRPr="002E7AA9">
        <w:rPr>
          <w:rFonts w:ascii="Times New Roman" w:hAnsi="Times New Roman"/>
          <w:b/>
          <w:sz w:val="20"/>
        </w:rPr>
        <w:t>_NR2}, where P_NR1+P_NR2 &lt;= P_NN.</w:t>
      </w:r>
    </w:p>
    <w:p w14:paraId="6FD3C170" w14:textId="77777777" w:rsidR="004F69E9" w:rsidRPr="00846045" w:rsidRDefault="004F69E9" w:rsidP="004F69E9">
      <w:pPr>
        <w:jc w:val="both"/>
        <w:rPr>
          <w:b/>
        </w:rPr>
      </w:pPr>
      <w:r>
        <w:rPr>
          <w:b/>
        </w:rPr>
        <w:t xml:space="preserve">For uplink transmission on a serving cell of </w:t>
      </w:r>
      <w:proofErr w:type="spellStart"/>
      <w:r>
        <w:rPr>
          <w:b/>
        </w:rPr>
        <w:t>CGi</w:t>
      </w:r>
      <w:proofErr w:type="spellEnd"/>
      <w:r>
        <w:rPr>
          <w:b/>
        </w:rPr>
        <w:t xml:space="preserve">, the UE sets the maximum power to </w:t>
      </w:r>
      <w:proofErr w:type="spellStart"/>
      <w:r>
        <w:rPr>
          <w:b/>
        </w:rPr>
        <w:t>P_NRi</w:t>
      </w:r>
      <w:proofErr w:type="spellEnd"/>
      <w:r>
        <w:rPr>
          <w:b/>
        </w:rPr>
        <w:t>. The UE does not expect the sum power taken over all serving cells of the two cell groups to be larger than P_NN.</w:t>
      </w:r>
    </w:p>
    <w:p w14:paraId="6C22B6F0" w14:textId="77777777" w:rsidR="004F69E9" w:rsidRPr="004F69E9" w:rsidRDefault="004F69E9" w:rsidP="004F69E9"/>
    <w:sectPr w:rsidR="004F69E9" w:rsidRPr="004F69E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D5D4B" w14:textId="77777777" w:rsidR="001F71D5" w:rsidRDefault="001F71D5">
      <w:r>
        <w:separator/>
      </w:r>
    </w:p>
  </w:endnote>
  <w:endnote w:type="continuationSeparator" w:id="0">
    <w:p w14:paraId="34CBC413" w14:textId="77777777" w:rsidR="001F71D5" w:rsidRDefault="001F71D5">
      <w:r>
        <w:continuationSeparator/>
      </w:r>
    </w:p>
  </w:endnote>
  <w:endnote w:type="continuationNotice" w:id="1">
    <w:p w14:paraId="635BBFCE" w14:textId="77777777" w:rsidR="001F71D5" w:rsidRDefault="001F7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4A28D" w14:textId="77777777" w:rsidR="001F71D5" w:rsidRDefault="001F71D5">
      <w:r>
        <w:separator/>
      </w:r>
    </w:p>
  </w:footnote>
  <w:footnote w:type="continuationSeparator" w:id="0">
    <w:p w14:paraId="226B0873" w14:textId="77777777" w:rsidR="001F71D5" w:rsidRDefault="001F71D5">
      <w:r>
        <w:continuationSeparator/>
      </w:r>
    </w:p>
  </w:footnote>
  <w:footnote w:type="continuationNotice" w:id="1">
    <w:p w14:paraId="6D38BE0E" w14:textId="77777777" w:rsidR="001F71D5" w:rsidRDefault="001F7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lvlOverride w:ilvl="0">
      <w:startOverride w:val="1"/>
    </w:lvlOverride>
  </w:num>
  <w:num w:numId="4">
    <w:abstractNumId w:val="11"/>
  </w:num>
  <w:num w:numId="5">
    <w:abstractNumId w:val="10"/>
  </w:num>
  <w:num w:numId="6">
    <w:abstractNumId w:val="4"/>
  </w:num>
  <w:num w:numId="7">
    <w:abstractNumId w:val="2"/>
  </w:num>
  <w:num w:numId="8">
    <w:abstractNumId w:val="7"/>
  </w:num>
  <w:num w:numId="9">
    <w:abstractNumId w:val="6"/>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68"/>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20F"/>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HR33RHYHUWRF-4-9435</_dlc_DocId>
    <_dlc_DocIdUrl xmlns="c06861ca-3f08-4d07-bff7-bb15bac121f4">
      <Url>https://projects.qualcomm.com/sites/pentari/_layouts/15/DocIdRedir.aspx?ID=HR33RHYHUWRF-4-9435</Url>
      <Description>HR33RHYHUWRF-4-9435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A2E279B8-0EDC-4532-A37F-A5C15B4A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6</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2019-02-16T04:40:00Z</dcterms:created>
  <dcterms:modified xsi:type="dcterms:W3CDTF">2019-02-16T04:40:00Z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396ef342-1747-4d9d-be57-6a210f4deee4</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